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bookmarkStart w:id="5" w:name="_GoBack"/>
      <w:bookmarkEnd w:id="5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6B6A7D" w14:textId="77777777"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7D73B346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3D1697">
        <w:rPr>
          <w:rFonts w:ascii="Cambria" w:hAnsi="Cambria" w:cs="MyriadPro-Black"/>
          <w:caps/>
          <w:color w:val="A6A6A6"/>
          <w:sz w:val="32"/>
          <w:szCs w:val="40"/>
        </w:rPr>
        <w:t>29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3D1697">
        <w:rPr>
          <w:rFonts w:ascii="Cambria" w:hAnsi="Cambria" w:cs="MyriadPro-Black"/>
          <w:caps/>
          <w:color w:val="A6A6A6"/>
          <w:sz w:val="32"/>
          <w:szCs w:val="40"/>
        </w:rPr>
        <w:t>6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DB3B81">
        <w:rPr>
          <w:rFonts w:ascii="Cambria" w:hAnsi="Cambria" w:cs="MyriadPro-Black"/>
          <w:caps/>
          <w:color w:val="A6A6A6"/>
          <w:sz w:val="32"/>
          <w:szCs w:val="40"/>
        </w:rPr>
        <w:t>8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78A8B9CD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677764BE" w:rsidR="00DC62C1" w:rsidRDefault="00924F2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339FEBC1" w:rsidR="00DC62C1" w:rsidRDefault="00924F2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0C020BDA" w:rsidR="00DC62C1" w:rsidRDefault="00924F2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6F2EBB8D" w:rsidR="00DC62C1" w:rsidRDefault="00924F2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3476C66D" w:rsidR="00DC62C1" w:rsidRDefault="00924F2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A7DED3F" w:rsidR="00DC62C1" w:rsidRDefault="00924F2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75641C4E" w:rsidR="00DC62C1" w:rsidRDefault="00924F2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09BDA48B" w:rsidR="00DC62C1" w:rsidRDefault="00924F2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5682F9E" w:rsidR="00DC62C1" w:rsidRDefault="00924F2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28FB4447" w:rsidR="00DC62C1" w:rsidRDefault="00924F2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00364E3F" w:rsidR="00DC62C1" w:rsidRDefault="00924F2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074A7811" w:rsidR="00DC62C1" w:rsidRDefault="00924F2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40847B18" w:rsidR="00DC62C1" w:rsidRDefault="00924F2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78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DC62C1" w:rsidRDefault="008A5F96" w:rsidP="00DC62C1">
      <w:pPr>
        <w:pStyle w:val="Nadpis1"/>
        <w:jc w:val="both"/>
        <w:rPr>
          <w:caps/>
          <w:sz w:val="6"/>
          <w:szCs w:val="6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7777777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14:paraId="6E7AF259" w14:textId="7777777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 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7777777" w:rsidR="009E5131" w:rsidRPr="003C5DD8" w:rsidRDefault="009E5131" w:rsidP="003D1697">
      <w:pPr>
        <w:spacing w:before="120"/>
      </w:pPr>
      <w:r>
        <w:t>Žadatel kapitolu nevyplňuje.</w:t>
      </w: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6EFD820A" w14:textId="77777777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cash-flow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901678" w:rsidRPr="003D1697">
        <w:t>droje financování provozních výdajů.</w:t>
      </w:r>
    </w:p>
    <w:p w14:paraId="3D9B3C59" w14:textId="77777777" w:rsidR="00901678" w:rsidRPr="001D4E35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cash-flow. Zdůvodnění negativního cash-flow v některém období a zdroj prostředků a způsob překlenutí.</w:t>
      </w:r>
    </w:p>
    <w:p w14:paraId="4F5D8720" w14:textId="3362A814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5pt;height:137.9pt" o:ole="">
            <v:imagedata r:id="rId11" o:title=""/>
          </v:shape>
          <o:OLEObject Type="Embed" ProgID="Excel.Sheet.12" ShapeID="_x0000_i1025" DrawAspect="Content" ObjectID="_1591904007" r:id="rId12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Popis a zdůvodnění vlivu projektu na horizontální principy.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2D918" w14:textId="77777777" w:rsidR="00924F29" w:rsidRDefault="00924F29" w:rsidP="00634381">
      <w:pPr>
        <w:spacing w:after="0" w:line="240" w:lineRule="auto"/>
      </w:pPr>
      <w:r>
        <w:separator/>
      </w:r>
    </w:p>
  </w:endnote>
  <w:endnote w:type="continuationSeparator" w:id="0">
    <w:p w14:paraId="4F9C7146" w14:textId="77777777" w:rsidR="00924F29" w:rsidRDefault="00924F29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5CC50ECA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A25DC6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A25DC6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26A40" w14:textId="77777777" w:rsidR="00924F29" w:rsidRDefault="00924F29" w:rsidP="00634381">
      <w:pPr>
        <w:spacing w:after="0" w:line="240" w:lineRule="auto"/>
      </w:pPr>
      <w:r>
        <w:separator/>
      </w:r>
    </w:p>
  </w:footnote>
  <w:footnote w:type="continuationSeparator" w:id="0">
    <w:p w14:paraId="5A449B94" w14:textId="77777777" w:rsidR="00924F29" w:rsidRDefault="00924F29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4F29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5DC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E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02BD-2C7C-41B0-B076-62DDFDE6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1527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nada</cp:lastModifiedBy>
  <cp:revision>2</cp:revision>
  <cp:lastPrinted>2015-11-18T08:29:00Z</cp:lastPrinted>
  <dcterms:created xsi:type="dcterms:W3CDTF">2018-06-30T20:47:00Z</dcterms:created>
  <dcterms:modified xsi:type="dcterms:W3CDTF">2018-06-30T20:47:00Z</dcterms:modified>
</cp:coreProperties>
</file>